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0"/>
      </w:pPr>
      <w:r>
        <w:rPr>
          <w:rFonts w:ascii="Arial" w:cs="Arial" w:eastAsia="Arial" w:hAnsi="Arial"/>
          <w:b/>
          <w:bCs/>
          <w:color w:val="1a1a2e"/>
          <w:sz w:val="36"/>
          <w:szCs w:val="36"/>
        </w:rPr>
        <w:t xml:space="preserve">Customer Support Response</w:t>
      </w:r>
    </w:p>
    <w:p>
      <w:pPr>
        <w:spacing w:after="280" w:before="0"/>
      </w:pPr>
      <w:r>
        <w:rPr>
          <w:rFonts w:ascii="Arial" w:cs="Arial" w:eastAsia="Arial" w:hAnsi="Arial"/>
          <w:color w:val="6B7280"/>
          <w:sz w:val="24"/>
          <w:szCs w:val="24"/>
        </w:rPr>
        <w:t xml:space="preserve">Order Cleanup &amp; Analytics Issues — Investigation &amp; Resolution</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800"/>
        <w:gridCol w:w="7226"/>
      </w:tblGrid>
      <w:tr>
        <w:tc>
          <w:tcPr>
            <w:tcW w:type="dxa" w:w="1800"/>
            <w:tcBorders>
              <w:top w:val="single" w:color="CCCCCC" w:sz="1"/>
              <w:left w:val="single" w:color="CCCCCC" w:sz="1"/>
              <w:bottom w:val="single" w:color="CCCCCC" w:sz="1"/>
              <w:right w:val="single" w:color="CCCCCC" w:sz="1"/>
            </w:tcBorders>
            <w:shd w:fill="1E293B" w:val="clear"/>
            <w:tcMar>
              <w:top w:type="dxa" w:w="100"/>
              <w:left w:type="dxa" w:w="140"/>
              <w:bottom w:type="dxa" w:w="100"/>
              <w:right w:type="dxa" w:w="140"/>
            </w:tcMar>
          </w:tcPr>
          <w:p>
            <w:pPr>
              <w:spacing w:after="0" w:before="0"/>
            </w:pPr>
            <w:r>
              <w:rPr>
                <w:rFonts w:ascii="Arial" w:cs="Arial" w:eastAsia="Arial" w:hAnsi="Arial"/>
                <w:b/>
                <w:bCs/>
                <w:color w:val="FFFFFF"/>
                <w:sz w:val="22"/>
                <w:szCs w:val="22"/>
              </w:rPr>
              <w:t xml:space="preserve">Field</w:t>
            </w:r>
          </w:p>
        </w:tc>
        <w:tc>
          <w:tcPr>
            <w:tcW w:type="dxa" w:w="7226"/>
            <w:tcBorders>
              <w:top w:val="single" w:color="CCCCCC" w:sz="1"/>
              <w:left w:val="single" w:color="CCCCCC" w:sz="1"/>
              <w:bottom w:val="single" w:color="CCCCCC" w:sz="1"/>
              <w:right w:val="single" w:color="CCCCCC" w:sz="1"/>
            </w:tcBorders>
            <w:shd w:fill="1E293B" w:val="clear"/>
            <w:tcMar>
              <w:top w:type="dxa" w:w="100"/>
              <w:left w:type="dxa" w:w="140"/>
              <w:bottom w:type="dxa" w:w="100"/>
              <w:right w:type="dxa" w:w="140"/>
            </w:tcMar>
          </w:tcPr>
          <w:p>
            <w:pPr>
              <w:spacing w:after="0" w:before="0"/>
            </w:pPr>
            <w:r>
              <w:rPr>
                <w:rFonts w:ascii="Arial" w:cs="Arial" w:eastAsia="Arial" w:hAnsi="Arial"/>
                <w:b/>
                <w:bCs/>
                <w:color w:val="FFFFFF"/>
                <w:sz w:val="22"/>
                <w:szCs w:val="22"/>
              </w:rPr>
              <w:t xml:space="preserve">Value</w:t>
            </w:r>
          </w:p>
        </w:tc>
      </w:tr>
      <w:tr>
        <w:tc>
          <w:tcPr>
            <w:tcW w:type="dxa" w:w="18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To</w:t>
            </w:r>
          </w:p>
        </w:tc>
        <w:tc>
          <w:tcPr>
            <w:tcW w:type="dxa" w:w="7226"/>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Customer</w:t>
            </w:r>
          </w:p>
        </w:tc>
      </w:tr>
      <w:tr>
        <w:tc>
          <w:tcPr>
            <w:tcW w:type="dxa" w:w="18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Date</w:t>
            </w:r>
          </w:p>
        </w:tc>
        <w:tc>
          <w:tcPr>
            <w:tcW w:type="dxa" w:w="7226"/>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2026-06-02</w:t>
            </w:r>
          </w:p>
        </w:tc>
      </w:tr>
      <w:tr>
        <w:tc>
          <w:tcPr>
            <w:tcW w:type="dxa" w:w="18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Subject</w:t>
            </w:r>
          </w:p>
        </w:tc>
        <w:tc>
          <w:tcPr>
            <w:tcW w:type="dxa" w:w="7226"/>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Re: ArchiveMaster — Orphaned WC Data, Analytics Chart Issue, HPOS Option</w:t>
            </w:r>
          </w:p>
        </w:tc>
      </w:tr>
      <w:tr>
        <w:tc>
          <w:tcPr>
            <w:tcW w:type="dxa" w:w="18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Status</w:t>
            </w:r>
          </w:p>
        </w:tc>
        <w:tc>
          <w:tcPr>
            <w:tcW w:type="dxa" w:w="7226"/>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RESOLVED — all ArchiveMaster bugs fixed and shipped</w:t>
            </w:r>
          </w:p>
        </w:tc>
      </w:tr>
    </w:tbl>
    <w:p>
      <w:pPr>
        <w:spacing w:after="220" w:before="0"/>
      </w:pPr>
      <w:r>
        <w:rPr>
          <w:rFonts w:ascii="Arial" w:cs="Arial" w:eastAsia="Arial" w:hAnsi="Arial"/>
          <w:b w:val="false"/>
          <w:bCs w:val="false"/>
          <w:color w:val="000000"/>
          <w:sz w:val="22"/>
          <w:szCs w:val="22"/>
        </w:rPr>
        <w:t xml:space="preserve"/>
      </w:r>
    </w:p>
    <w:p>
      <w:pPr>
        <w:spacing w:after="240" w:before="0"/>
      </w:pPr>
      <w:r>
        <w:rPr>
          <w:rFonts w:ascii="Arial" w:cs="Arial" w:eastAsia="Arial" w:hAnsi="Arial"/>
          <w:b w:val="false"/>
          <w:bCs w:val="false"/>
          <w:color w:val="000000"/>
          <w:sz w:val="22"/>
          <w:szCs w:val="22"/>
        </w:rPr>
        <w:t xml:space="preserve">Thank you for the detailed report. I investigated each issue thoroughly against the live codebase and a test site (PHP 8.2, HPOS enabled, ArchiveMaster Free v1.12.4 + Pro). Two ArchiveMaster bugs were confirmed and fixed. Here is the full response.</w:t>
      </w:r>
    </w:p>
    <w:p>
      <w:pPr>
        <w:pBdr>
          <w:bottom w:val="single" w:color="E5E7EB" w:sz="4" w:space="1"/>
        </w:pBdr>
        <w:spacing w:after="240" w:before="240"/>
      </w:pPr>
    </w:p>
    <w:p>
      <w:pPr>
        <w:spacing w:after="140" w:before="320"/>
      </w:pPr>
      <w:r>
        <w:rPr>
          <w:rFonts w:ascii="Arial" w:cs="Arial" w:eastAsia="Arial" w:hAnsi="Arial"/>
          <w:b/>
          <w:bCs/>
          <w:color w:val="1a1a2e"/>
          <w:sz w:val="28"/>
          <w:szCs w:val="28"/>
        </w:rPr>
        <w:t xml:space="preserve">1.  HPOS Option Mismatch — woocommerce_custom_orders_table_enabled = yes</w:t>
      </w:r>
    </w:p>
    <w:p>
      <w:pPr>
        <w:pBdr>
          <w:left w:val="single" w:color="7C3AED" w:sz="16" w:space="6"/>
        </w:pBdr>
        <w:spacing w:after="180" w:before="160"/>
        <w:ind w:left="280"/>
      </w:pPr>
      <w:r>
        <w:rPr>
          <w:rFonts w:ascii="Arial" w:cs="Arial" w:eastAsia="Arial" w:hAnsi="Arial"/>
          <w:b/>
          <w:bCs/>
          <w:color w:val="7C3AED"/>
          <w:sz w:val="22"/>
          <w:szCs w:val="22"/>
        </w:rPr>
        <w:t xml:space="preserve">NOT AN ARCHIVEMASTER BUG.  </w:t>
      </w:r>
      <w:r>
        <w:rPr>
          <w:rFonts w:ascii="Arial" w:cs="Arial" w:eastAsia="Arial" w:hAnsi="Arial"/>
          <w:color w:val="374151"/>
          <w:sz w:val="22"/>
          <w:szCs w:val="22"/>
        </w:rPr>
        <w:t xml:space="preserve">ArchiveMaster never writes this option. Full codebase grep returns zero matches.</w:t>
      </w:r>
    </w:p>
    <w:p>
      <w:pPr>
        <w:spacing w:after="140" w:before="0"/>
      </w:pPr>
      <w:r>
        <w:rPr>
          <w:rFonts w:ascii="Arial" w:cs="Arial" w:eastAsia="Arial" w:hAnsi="Arial"/>
          <w:b/>
          <w:bCs/>
          <w:color w:val="000000"/>
          <w:sz w:val="22"/>
          <w:szCs w:val="22"/>
        </w:rPr>
        <w:t xml:space="preserve">Root cause: </w:t>
      </w:r>
      <w:r>
        <w:rPr>
          <w:rFonts w:ascii="Arial" w:cs="Arial" w:eastAsia="Arial" w:hAnsi="Arial"/>
          <w:color w:val="000000"/>
          <w:sz w:val="22"/>
          <w:szCs w:val="22"/>
        </w:rPr>
        <w:t xml:space="preserve">WooCommerce sets this option during the HPOS migration wizard. If HPOS was enabled and migrated but the UI toggle was turned off without running the reverse migration wizard, the DB value can remain yes while the UI shows disabled. ArchiveMaster only reads this value via is_hpos_enabled() to decide which tables to query — it never writes it.</w:t>
      </w:r>
    </w:p>
    <w:p>
      <w:pPr>
        <w:spacing w:after="140" w:before="0"/>
      </w:pPr>
      <w:r>
        <w:rPr>
          <w:rFonts w:ascii="Arial" w:cs="Arial" w:eastAsia="Arial" w:hAnsi="Arial"/>
          <w:b w:val="false"/>
          <w:bCs w:val="false"/>
          <w:color w:val="000000"/>
          <w:sz w:val="22"/>
          <w:szCs w:val="22"/>
        </w:rPr>
        <w:t xml:space="preserve"/>
      </w:r>
    </w:p>
    <w:p>
      <w:pPr>
        <w:spacing w:after="60" w:before="0"/>
      </w:pPr>
      <w:r>
        <w:rPr>
          <w:rFonts w:ascii="Arial" w:cs="Arial" w:eastAsia="Arial" w:hAnsi="Arial"/>
          <w:b/>
          <w:bCs/>
          <w:color w:val="000000"/>
          <w:sz w:val="22"/>
          <w:szCs w:val="22"/>
        </w:rPr>
        <w:t xml:space="preserve">Action required:</w:t>
      </w:r>
    </w:p>
    <w:p>
      <w:pPr>
        <w:spacing w:after="140" w:before="0"/>
      </w:pPr>
      <w:r>
        <w:rPr>
          <w:rFonts w:ascii="Arial" w:cs="Arial" w:eastAsia="Arial" w:hAnsi="Arial"/>
          <w:b w:val="false"/>
          <w:bCs w:val="false"/>
          <w:color w:val="000000"/>
          <w:sz w:val="22"/>
          <w:szCs w:val="22"/>
        </w:rPr>
        <w:t xml:space="preserve">Run the WooCommerce HPOS reverse migration wizard: WooCommerce → Settings → Advanced → Features. ArchiveMaster adapts correctly to either DB state.</w:t>
      </w:r>
    </w:p>
    <w:p>
      <w:pPr>
        <w:pBdr>
          <w:bottom w:val="single" w:color="E5E7EB" w:sz="4" w:space="1"/>
        </w:pBdr>
        <w:spacing w:after="240" w:before="240"/>
      </w:pPr>
    </w:p>
    <w:p>
      <w:pPr>
        <w:spacing w:after="140" w:before="320"/>
      </w:pPr>
      <w:r>
        <w:rPr>
          <w:rFonts w:ascii="Arial" w:cs="Arial" w:eastAsia="Arial" w:hAnsi="Arial"/>
          <w:b/>
          <w:bCs/>
          <w:color w:val="1a1a2e"/>
          <w:sz w:val="28"/>
          <w:szCs w:val="28"/>
        </w:rPr>
        <w:t xml:space="preserve">2.  Orphaned shop_order_refund Posts (99) and woocommerce_order_items (1,293)</w:t>
      </w:r>
    </w:p>
    <w:p>
      <w:pPr>
        <w:pBdr>
          <w:left w:val="single" w:color="059669" w:sz="16" w:space="6"/>
        </w:pBdr>
        <w:spacing w:after="180" w:before="160"/>
        <w:ind w:left="280"/>
      </w:pPr>
      <w:r>
        <w:rPr>
          <w:rFonts w:ascii="Arial" w:cs="Arial" w:eastAsia="Arial" w:hAnsi="Arial"/>
          <w:b/>
          <w:bCs/>
          <w:color w:val="059669"/>
          <w:sz w:val="22"/>
          <w:szCs w:val="22"/>
        </w:rPr>
        <w:t xml:space="preserve">ARCHIVEMASTER BUG — FIXED.  </w:t>
      </w:r>
      <w:r>
        <w:rPr>
          <w:rFonts w:ascii="Arial" w:cs="Arial" w:eastAsia="Arial" w:hAnsi="Arial"/>
          <w:color w:val="374151"/>
          <w:sz w:val="22"/>
          <w:szCs w:val="22"/>
        </w:rPr>
        <w:t xml:space="preserve">Confirmed in legacy CPT (non-HPOS) mode. Root cause identified and patched. HPOS unaffected.</w:t>
      </w:r>
    </w:p>
    <w:p>
      <w:pPr>
        <w:spacing w:after="100" w:before="200"/>
      </w:pPr>
      <w:r>
        <w:rPr>
          <w:rFonts w:ascii="Arial" w:cs="Arial" w:eastAsia="Arial" w:hAnsi="Arial"/>
          <w:b/>
          <w:bCs/>
          <w:color w:val="374151"/>
          <w:sz w:val="23"/>
          <w:szCs w:val="23"/>
        </w:rPr>
        <w:t xml:space="preserve">HPOS mode — was always correct</w:t>
      </w:r>
    </w:p>
    <w:p>
      <w:pPr>
        <w:spacing w:after="140" w:before="0"/>
      </w:pPr>
      <w:r>
        <w:rPr>
          <w:rFonts w:ascii="Arial" w:cs="Arial" w:eastAsia="Arial" w:hAnsi="Arial"/>
          <w:b w:val="false"/>
          <w:bCs w:val="false"/>
          <w:color w:val="000000"/>
          <w:sz w:val="22"/>
          <w:szCs w:val="22"/>
        </w:rPr>
        <w:t xml:space="preserve">Live test (archivemaster.local, orders #535, #536 with refund child #537, #538):</w:t>
      </w:r>
    </w:p>
    <w:p>
      <w:pPr>
        <w:pStyle w:val="ListParagraph"/>
        <w:numPr>
          <w:ilvl w:val="0"/>
          <w:numId w:val="2"/>
        </w:numPr>
        <w:spacing w:after="100" w:before="0"/>
      </w:pPr>
      <w:r>
        <w:rPr>
          <w:rFonts w:ascii="Arial" w:cs="Arial" w:eastAsia="Arial" w:hAnsi="Arial"/>
          <w:sz w:val="22"/>
          <w:szCs w:val="22"/>
        </w:rPr>
        <w:t xml:space="preserve">orphaned_refund_posts = 0</w:t>
      </w:r>
    </w:p>
    <w:p>
      <w:pPr>
        <w:pStyle w:val="ListParagraph"/>
        <w:numPr>
          <w:ilvl w:val="0"/>
          <w:numId w:val="2"/>
        </w:numPr>
        <w:spacing w:after="100" w:before="0"/>
      </w:pPr>
      <w:r>
        <w:rPr>
          <w:rFonts w:ascii="Arial" w:cs="Arial" w:eastAsia="Arial" w:hAnsi="Arial"/>
          <w:sz w:val="22"/>
          <w:szCs w:val="22"/>
        </w:rPr>
        <w:t xml:space="preserve">orphaned_order_items = 0</w:t>
      </w:r>
    </w:p>
    <w:p>
      <w:pPr>
        <w:pStyle w:val="ListParagraph"/>
        <w:numPr>
          <w:ilvl w:val="0"/>
          <w:numId w:val="2"/>
        </w:numPr>
        <w:spacing w:after="100" w:before="0"/>
      </w:pPr>
      <w:r>
        <w:rPr>
          <w:rFonts w:ascii="Arial" w:cs="Arial" w:eastAsia="Arial" w:hAnsi="Arial"/>
          <w:sz w:val="22"/>
          <w:szCs w:val="22"/>
        </w:rPr>
        <w:t xml:space="preserve">orphaned_order_itemmeta = 0</w:t>
      </w:r>
    </w:p>
    <w:p>
      <w:pPr>
        <w:spacing w:after="140" w:before="80"/>
      </w:pPr>
      <w:r>
        <w:rPr>
          <w:rFonts w:ascii="Arial" w:cs="Arial" w:eastAsia="Arial" w:hAnsi="Arial"/>
          <w:b w:val="false"/>
          <w:bCs w:val="false"/>
          <w:color w:val="000000"/>
          <w:sz w:val="22"/>
          <w:szCs w:val="22"/>
        </w:rPr>
        <w:t xml:space="preserve">WooCommerce HPOS cascade (upshift_or_delete_child_orders + delete_items) handles everything. No issue on HPOS.</w:t>
      </w:r>
    </w:p>
    <w:p>
      <w:pPr>
        <w:spacing w:after="140" w:before="0"/>
      </w:pPr>
      <w:r>
        <w:rPr>
          <w:rFonts w:ascii="Arial" w:cs="Arial" w:eastAsia="Arial" w:hAnsi="Arial"/>
          <w:b w:val="false"/>
          <w:bCs w:val="false"/>
          <w:color w:val="000000"/>
          <w:sz w:val="22"/>
          <w:szCs w:val="22"/>
        </w:rPr>
        <w:t xml:space="preserve"/>
      </w:r>
    </w:p>
    <w:p>
      <w:pPr>
        <w:spacing w:after="100" w:before="200"/>
      </w:pPr>
      <w:r>
        <w:rPr>
          <w:rFonts w:ascii="Arial" w:cs="Arial" w:eastAsia="Arial" w:hAnsi="Arial"/>
          <w:b/>
          <w:bCs/>
          <w:color w:val="374151"/>
          <w:sz w:val="23"/>
          <w:szCs w:val="23"/>
        </w:rPr>
        <w:t xml:space="preserve">Legacy CPT mode — confirmed bug (your site)</w:t>
      </w:r>
    </w:p>
    <w:p>
      <w:pPr>
        <w:spacing w:after="140" w:before="0"/>
      </w:pPr>
      <w:r>
        <w:rPr>
          <w:rFonts w:ascii="Arial" w:cs="Arial" w:eastAsia="Arial" w:hAnsi="Arial"/>
          <w:b/>
          <w:bCs/>
          <w:color w:val="000000"/>
          <w:sz w:val="22"/>
          <w:szCs w:val="22"/>
        </w:rPr>
        <w:t xml:space="preserve">Root cause: </w:t>
      </w:r>
      <w:r>
        <w:rPr>
          <w:rFonts w:ascii="Arial" w:cs="Arial" w:eastAsia="Arial" w:hAnsi="Arial"/>
          <w:color w:val="000000"/>
          <w:sz w:val="22"/>
          <w:szCs w:val="22"/>
        </w:rPr>
        <w:t xml:space="preserve">WooCommerce's legacy CPT data store calls wp_delete_post($id) without force_delete=true (abstract-wc-order-data-store-cpt.php:299). This trashes the parent order instead of permanently deleting it. The delete_post hook — which triggers WC_Post_Data::delete_post_data() to clean refund children — only fires on permanent delete, never on trash. So shop_order_refund children and their woocommerce_order_items rows are never cleaned.</w:t>
      </w:r>
    </w:p>
    <w:p>
      <w:pPr>
        <w:spacing w:after="140" w:before="0"/>
      </w:pPr>
      <w:r>
        <w:rPr>
          <w:rFonts w:ascii="Arial" w:cs="Arial" w:eastAsia="Arial" w:hAnsi="Arial"/>
          <w:b w:val="false"/>
          <w:bCs w:val="false"/>
          <w:color w:val="000000"/>
          <w:sz w:val="22"/>
          <w:szCs w:val="22"/>
        </w:rPr>
        <w:t xml:space="preserve"/>
      </w:r>
    </w:p>
    <w:p>
      <w:pPr>
        <w:spacing w:after="140" w:before="0"/>
      </w:pPr>
      <w:r>
        <w:rPr>
          <w:rFonts w:ascii="Arial" w:cs="Arial" w:eastAsia="Arial" w:hAnsi="Arial"/>
          <w:b/>
          <w:bCs/>
          <w:color w:val="000000"/>
          <w:sz w:val="22"/>
          <w:szCs w:val="22"/>
        </w:rPr>
        <w:t xml:space="preserve">Fix applied: </w:t>
      </w:r>
      <w:r>
        <w:rPr>
          <w:rFonts w:ascii="Arial" w:cs="Arial" w:eastAsia="Arial" w:hAnsi="Arial"/>
          <w:color w:val="000000"/>
          <w:sz w:val="22"/>
          <w:szCs w:val="22"/>
        </w:rPr>
        <w:t xml:space="preserve">Before calling $order-&gt;delete(true), ArchiveMaster now collects all shop_order_refund child IDs from wp_posts. After the WC delete call, each is force-deleted via wp_delete_post($refund_id, true). WooCommerce's own before_delete_post hook cascades to clean their order_items and itemmeta. Block is guarded by !is_hpos_enabled() — HPOS path completely unchanged.</w:t>
      </w:r>
    </w:p>
    <w:p>
      <w:pPr>
        <w:spacing w:after="140" w:before="0"/>
      </w:pPr>
      <w:r>
        <w:rPr>
          <w:rFonts w:ascii="Arial" w:cs="Arial" w:eastAsia="Arial" w:hAnsi="Arial"/>
          <w:b w:val="false"/>
          <w:bCs w:val="false"/>
          <w:color w:val="000000"/>
          <w:sz w:val="22"/>
          <w:szCs w:val="22"/>
        </w:rPr>
        <w:t xml:space="preserve"/>
      </w:r>
    </w:p>
    <w:p>
      <w:pPr>
        <w:spacing w:after="140" w:before="0"/>
      </w:pPr>
      <w:r>
        <w:rPr>
          <w:rFonts w:ascii="Arial" w:cs="Arial" w:eastAsia="Arial" w:hAnsi="Arial"/>
          <w:b/>
          <w:bCs/>
          <w:color w:val="000000"/>
          <w:sz w:val="22"/>
          <w:szCs w:val="22"/>
        </w:rPr>
        <w:t xml:space="preserve">Files changed: </w:t>
      </w:r>
      <w:r>
        <w:rPr>
          <w:rFonts w:ascii="Arial" w:cs="Arial" w:eastAsia="Arial" w:hAnsi="Arial"/>
          <w:color w:val="000000"/>
          <w:sz w:val="22"/>
          <w:szCs w:val="22"/>
        </w:rPr>
        <w:t xml:space="preserve">includes/Admin/AdminRest.php (delete_single_order), includes/Features/BackgroundProcess.php (bulk archive delete path).</w:t>
      </w:r>
    </w:p>
    <w:p>
      <w:pPr>
        <w:spacing w:after="140" w:before="0"/>
      </w:pPr>
      <w:r>
        <w:rPr>
          <w:rFonts w:ascii="Arial" w:cs="Arial" w:eastAsia="Arial" w:hAnsi="Arial"/>
          <w:b w:val="false"/>
          <w:bCs w:val="false"/>
          <w:color w:val="000000"/>
          <w:sz w:val="22"/>
          <w:szCs w:val="22"/>
        </w:rPr>
        <w:t xml:space="preserve"/>
      </w:r>
    </w:p>
    <w:p>
      <w:pPr>
        <w:spacing w:after="60" w:before="0"/>
      </w:pPr>
      <w:r>
        <w:rPr>
          <w:rFonts w:ascii="Arial" w:cs="Arial" w:eastAsia="Arial" w:hAnsi="Arial"/>
          <w:b/>
          <w:bCs/>
          <w:color w:val="000000"/>
          <w:sz w:val="22"/>
          <w:szCs w:val="22"/>
        </w:rPr>
        <w:t xml:space="preserve">Action required:</w:t>
      </w:r>
    </w:p>
    <w:p>
      <w:pPr>
        <w:spacing w:after="140" w:before="0"/>
      </w:pPr>
      <w:r>
        <w:rPr>
          <w:rFonts w:ascii="Arial" w:cs="Arial" w:eastAsia="Arial" w:hAnsi="Arial"/>
          <w:b w:val="false"/>
          <w:bCs w:val="false"/>
          <w:color w:val="000000"/>
          <w:sz w:val="22"/>
          <w:szCs w:val="22"/>
        </w:rPr>
        <w:t xml:space="preserve">No action needed. Fix ships in this release. For pre-existing orphans (from orders archived before this fix was installed), run: WooCommerce → Status → Tools → "Delete orphaned order data".</w:t>
      </w:r>
    </w:p>
    <w:p>
      <w:pPr>
        <w:pBdr>
          <w:bottom w:val="single" w:color="E5E7EB" w:sz="4" w:space="1"/>
        </w:pBdr>
        <w:spacing w:after="240" w:before="240"/>
      </w:pPr>
    </w:p>
    <w:p>
      <w:pPr>
        <w:spacing w:after="140" w:before="320"/>
      </w:pPr>
      <w:r>
        <w:rPr>
          <w:rFonts w:ascii="Arial" w:cs="Arial" w:eastAsia="Arial" w:hAnsi="Arial"/>
          <w:b/>
          <w:bCs/>
          <w:color w:val="1a1a2e"/>
          <w:sz w:val="28"/>
          <w:szCs w:val="28"/>
        </w:rPr>
        <w:t xml:space="preserve">3.  wc_order_stats Orphans and Action Scheduler Division by Zero</w:t>
      </w:r>
    </w:p>
    <w:p>
      <w:pPr>
        <w:pBdr>
          <w:left w:val="single" w:color="7C3AED" w:sz="16" w:space="6"/>
        </w:pBdr>
        <w:spacing w:after="180" w:before="160"/>
        <w:ind w:left="280"/>
      </w:pPr>
      <w:r>
        <w:rPr>
          <w:rFonts w:ascii="Arial" w:cs="Arial" w:eastAsia="Arial" w:hAnsi="Arial"/>
          <w:b/>
          <w:bCs/>
          <w:color w:val="7C3AED"/>
          <w:sz w:val="22"/>
          <w:szCs w:val="22"/>
        </w:rPr>
        <w:t xml:space="preserve">WOOCOMMERCE DESIGN — NOT AN ARCHIVEMASTER BUG.  </w:t>
      </w:r>
      <w:r>
        <w:rPr>
          <w:rFonts w:ascii="Arial" w:cs="Arial" w:eastAsia="Arial" w:hAnsi="Arial"/>
          <w:color w:val="374151"/>
          <w:sz w:val="22"/>
          <w:szCs w:val="22"/>
        </w:rPr>
        <w:t xml:space="preserve">WC intentionally never deletes wc_order_stats on order delete.</w:t>
      </w:r>
    </w:p>
    <w:p>
      <w:pPr>
        <w:spacing w:after="140" w:before="0"/>
      </w:pPr>
      <w:r>
        <w:rPr>
          <w:rFonts w:ascii="Arial" w:cs="Arial" w:eastAsia="Arial" w:hAnsi="Arial"/>
          <w:b w:val="false"/>
          <w:bCs w:val="false"/>
          <w:color w:val="000000"/>
          <w:sz w:val="22"/>
          <w:szCs w:val="22"/>
        </w:rPr>
        <w:t xml:space="preserve">WooCommerce's get_all_table_names() intentionally excludes wc_order_stats. WC treats it as an analytics rebuild cache, re-synced by Action Scheduler via wc_admin_import_batch_orders. ArchiveMaster calls $order-&gt;delete(true) correctly — the orphaned rows are left by WooCommerce's own delete path.</w:t>
      </w:r>
    </w:p>
    <w:p>
      <w:pPr>
        <w:spacing w:after="140" w:before="0"/>
      </w:pPr>
      <w:r>
        <w:rPr>
          <w:rFonts w:ascii="Arial" w:cs="Arial" w:eastAsia="Arial" w:hAnsi="Arial"/>
          <w:b w:val="false"/>
          <w:bCs w:val="false"/>
          <w:color w:val="000000"/>
          <w:sz w:val="22"/>
          <w:szCs w:val="22"/>
        </w:rPr>
        <w:t xml:space="preserve"/>
      </w:r>
    </w:p>
    <w:p>
      <w:pPr>
        <w:spacing w:after="160" w:before="0"/>
      </w:pPr>
      <w:r>
        <w:rPr>
          <w:rFonts w:ascii="Arial" w:cs="Arial" w:eastAsia="Arial" w:hAnsi="Arial"/>
          <w:b w:val="false"/>
          <w:bCs w:val="false"/>
          <w:color w:val="000000"/>
          <w:sz w:val="22"/>
          <w:szCs w:val="22"/>
        </w:rPr>
        <w:t xml:space="preserve">The Division by Zero errors occur when WooCommerce analytics re-import encounters wc_order_stats rows for orders that no longer exist. WooCommerce analytics edge case, not ArchiveMaster.</w:t>
      </w:r>
    </w:p>
    <w:p>
      <w:pPr>
        <w:spacing w:after="60" w:before="0"/>
      </w:pPr>
      <w:r>
        <w:rPr>
          <w:rFonts w:ascii="Arial" w:cs="Arial" w:eastAsia="Arial" w:hAnsi="Arial"/>
          <w:b/>
          <w:bCs/>
          <w:color w:val="000000"/>
          <w:sz w:val="22"/>
          <w:szCs w:val="22"/>
        </w:rPr>
        <w:t xml:space="preserve">Action required:</w:t>
      </w:r>
    </w:p>
    <w:p>
      <w:pPr>
        <w:spacing w:after="140" w:before="0"/>
      </w:pPr>
      <w:r>
        <w:rPr>
          <w:rFonts w:ascii="Arial" w:cs="Arial" w:eastAsia="Arial" w:hAnsi="Arial"/>
          <w:b w:val="false"/>
          <w:bCs w:val="false"/>
          <w:color w:val="000000"/>
          <w:sz w:val="22"/>
          <w:szCs w:val="22"/>
        </w:rPr>
        <w:t xml:space="preserve">WooCommerce → Analytics → Status → "Re-import historical data". This rebuilds wc_order_stats from scratch and clears all stale rows.</w:t>
      </w:r>
    </w:p>
    <w:p>
      <w:pPr>
        <w:pBdr>
          <w:bottom w:val="single" w:color="E5E7EB" w:sz="4" w:space="1"/>
        </w:pBdr>
        <w:spacing w:after="240" w:before="240"/>
      </w:pPr>
    </w:p>
    <w:p>
      <w:pPr>
        <w:spacing w:after="140" w:before="320"/>
      </w:pPr>
      <w:r>
        <w:rPr>
          <w:rFonts w:ascii="Arial" w:cs="Arial" w:eastAsia="Arial" w:hAnsi="Arial"/>
          <w:b/>
          <w:bCs/>
          <w:color w:val="1a1a2e"/>
          <w:sz w:val="28"/>
          <w:szCs w:val="28"/>
        </w:rPr>
        <w:t xml:space="preserve">4.  Analytics Chart and Table — Identical Values Across All 3 Filter Modes</w:t>
      </w:r>
    </w:p>
    <w:p>
      <w:pPr>
        <w:pBdr>
          <w:left w:val="single" w:color="059669" w:sz="16" w:space="6"/>
        </w:pBdr>
        <w:spacing w:after="180" w:before="160"/>
        <w:ind w:left="280"/>
      </w:pPr>
      <w:r>
        <w:rPr>
          <w:rFonts w:ascii="Arial" w:cs="Arial" w:eastAsia="Arial" w:hAnsi="Arial"/>
          <w:b/>
          <w:bCs/>
          <w:color w:val="059669"/>
          <w:sz w:val="22"/>
          <w:szCs w:val="22"/>
        </w:rPr>
        <w:t xml:space="preserve">ARCHIVEMASTER BUG — FIXED.  </w:t>
      </w:r>
      <w:r>
        <w:rPr>
          <w:rFonts w:ascii="Arial" w:cs="Arial" w:eastAsia="Arial" w:hAnsi="Arial"/>
          <w:color w:val="374151"/>
          <w:sz w:val="22"/>
          <w:szCs w:val="22"/>
        </w:rPr>
        <w:t xml:space="preserve">Confirmed bug, root cause identified, patched and Playwright QA verified (2026-06-02).</w:t>
      </w:r>
    </w:p>
    <w:p>
      <w:pPr>
        <w:spacing w:after="180" w:before="0"/>
      </w:pPr>
      <w:r>
        <w:rPr>
          <w:rFonts w:ascii="Arial" w:cs="Arial" w:eastAsia="Arial" w:hAnsi="Arial"/>
          <w:b w:val="false"/>
          <w:bCs w:val="false"/>
          <w:color w:val="000000"/>
          <w:sz w:val="22"/>
          <w:szCs w:val="22"/>
        </w:rPr>
        <w:t xml:space="preserve">Tested all three modes via live analytics REST endpoint with 267 archived orders. Summary cards were correct per mode; chart intervals were the bug — all three modes returned identical data.</w:t>
      </w:r>
    </w:p>
    <w:p>
      <w:pPr>
        <w:spacing w:after="100" w:before="200"/>
      </w:pPr>
      <w:r>
        <w:rPr>
          <w:rFonts w:ascii="Arial" w:cs="Arial" w:eastAsia="Arial" w:hAnsi="Arial"/>
          <w:b/>
          <w:bCs/>
          <w:color w:val="374151"/>
          <w:sz w:val="23"/>
          <w:szCs w:val="23"/>
        </w:rPr>
        <w:t xml:space="preserve">Before fix — chart intervals (all 3 modes identical, BUG)</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800"/>
        <w:gridCol w:w="1500"/>
        <w:gridCol w:w="2963"/>
        <w:gridCol w:w="2763"/>
      </w:tblGrid>
      <w:tr>
        <w:tc>
          <w:tcPr>
            <w:tcW w:type="dxa" w:w="1800"/>
            <w:tcBorders>
              <w:top w:val="single" w:color="CCCCCC" w:sz="1"/>
              <w:left w:val="single" w:color="CCCCCC" w:sz="1"/>
              <w:bottom w:val="single" w:color="CCCCCC" w:sz="1"/>
              <w:right w:val="single" w:color="CCCCCC" w:sz="1"/>
            </w:tcBorders>
            <w:shd w:fill="1E293B" w:val="clear"/>
            <w:tcMar>
              <w:top w:type="dxa" w:w="100"/>
              <w:left w:type="dxa" w:w="140"/>
              <w:bottom w:type="dxa" w:w="100"/>
              <w:right w:type="dxa" w:w="140"/>
            </w:tcMar>
          </w:tcPr>
          <w:p>
            <w:pPr>
              <w:spacing w:after="0" w:before="0"/>
            </w:pPr>
            <w:r>
              <w:rPr>
                <w:rFonts w:ascii="Arial" w:cs="Arial" w:eastAsia="Arial" w:hAnsi="Arial"/>
                <w:b/>
                <w:bCs/>
                <w:color w:val="FFFFFF"/>
                <w:sz w:val="22"/>
                <w:szCs w:val="22"/>
              </w:rPr>
              <w:t xml:space="preserve">Mode</w:t>
            </w:r>
          </w:p>
        </w:tc>
        <w:tc>
          <w:tcPr>
            <w:tcW w:type="dxa" w:w="1500"/>
            <w:tcBorders>
              <w:top w:val="single" w:color="CCCCCC" w:sz="1"/>
              <w:left w:val="single" w:color="CCCCCC" w:sz="1"/>
              <w:bottom w:val="single" w:color="CCCCCC" w:sz="1"/>
              <w:right w:val="single" w:color="CCCCCC" w:sz="1"/>
            </w:tcBorders>
            <w:shd w:fill="1E293B" w:val="clear"/>
            <w:tcMar>
              <w:top w:type="dxa" w:w="100"/>
              <w:left w:type="dxa" w:w="140"/>
              <w:bottom w:type="dxa" w:w="100"/>
              <w:right w:type="dxa" w:w="140"/>
            </w:tcMar>
          </w:tcPr>
          <w:p>
            <w:pPr>
              <w:spacing w:after="0" w:before="0"/>
            </w:pPr>
            <w:r>
              <w:rPr>
                <w:rFonts w:ascii="Arial" w:cs="Arial" w:eastAsia="Arial" w:hAnsi="Arial"/>
                <w:b/>
                <w:bCs/>
                <w:color w:val="FFFFFF"/>
                <w:sz w:val="22"/>
                <w:szCs w:val="22"/>
              </w:rPr>
              <w:t xml:space="preserve">totals.orders</w:t>
            </w:r>
          </w:p>
        </w:tc>
        <w:tc>
          <w:tcPr>
            <w:tcW w:type="dxa" w:w="2963"/>
            <w:tcBorders>
              <w:top w:val="single" w:color="CCCCCC" w:sz="1"/>
              <w:left w:val="single" w:color="CCCCCC" w:sz="1"/>
              <w:bottom w:val="single" w:color="CCCCCC" w:sz="1"/>
              <w:right w:val="single" w:color="CCCCCC" w:sz="1"/>
            </w:tcBorders>
            <w:shd w:fill="1E293B" w:val="clear"/>
            <w:tcMar>
              <w:top w:type="dxa" w:w="100"/>
              <w:left w:type="dxa" w:w="140"/>
              <w:bottom w:type="dxa" w:w="100"/>
              <w:right w:type="dxa" w:w="140"/>
            </w:tcMar>
          </w:tcPr>
          <w:p>
            <w:pPr>
              <w:spacing w:after="0" w:before="0"/>
            </w:pPr>
            <w:r>
              <w:rPr>
                <w:rFonts w:ascii="Arial" w:cs="Arial" w:eastAsia="Arial" w:hAnsi="Arial"/>
                <w:b/>
                <w:bCs/>
                <w:color w:val="FFFFFF"/>
                <w:sz w:val="22"/>
                <w:szCs w:val="22"/>
              </w:rPr>
              <w:t xml:space="preserve">2026-05 chart</w:t>
            </w:r>
          </w:p>
        </w:tc>
        <w:tc>
          <w:tcPr>
            <w:tcW w:type="dxa" w:w="2763"/>
            <w:tcBorders>
              <w:top w:val="single" w:color="CCCCCC" w:sz="1"/>
              <w:left w:val="single" w:color="CCCCCC" w:sz="1"/>
              <w:bottom w:val="single" w:color="CCCCCC" w:sz="1"/>
              <w:right w:val="single" w:color="CCCCCC" w:sz="1"/>
            </w:tcBorders>
            <w:shd w:fill="1E293B" w:val="clear"/>
            <w:tcMar>
              <w:top w:type="dxa" w:w="100"/>
              <w:left w:type="dxa" w:w="140"/>
              <w:bottom w:type="dxa" w:w="100"/>
              <w:right w:type="dxa" w:w="140"/>
            </w:tcMar>
          </w:tcPr>
          <w:p>
            <w:pPr>
              <w:spacing w:after="0" w:before="0"/>
            </w:pPr>
            <w:r>
              <w:rPr>
                <w:rFonts w:ascii="Arial" w:cs="Arial" w:eastAsia="Arial" w:hAnsi="Arial"/>
                <w:b/>
                <w:bCs/>
                <w:color w:val="FFFFFF"/>
                <w:sz w:val="22"/>
                <w:szCs w:val="22"/>
              </w:rPr>
              <w:t xml:space="preserve">2026-04 chart</w:t>
            </w:r>
          </w:p>
        </w:tc>
      </w:tr>
      <w:tr>
        <w:tc>
          <w:tcPr>
            <w:tcW w:type="dxa" w:w="18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Exclude</w:t>
            </w:r>
          </w:p>
        </w:tc>
        <w:tc>
          <w:tcPr>
            <w:tcW w:type="dxa" w:w="1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10</w:t>
            </w:r>
          </w:p>
        </w:tc>
        <w:tc>
          <w:tcPr>
            <w:tcW w:type="dxa" w:w="2963"/>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orders=10, rev=667.34</w:t>
            </w:r>
          </w:p>
        </w:tc>
        <w:tc>
          <w:tcPr>
            <w:tcW w:type="dxa" w:w="2763"/>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orders=0, rev=−2,496.57</w:t>
            </w:r>
          </w:p>
        </w:tc>
      </w:tr>
      <w:tr>
        <w:tc>
          <w:tcPr>
            <w:tcW w:type="dxa" w:w="18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Combine</w:t>
            </w:r>
          </w:p>
        </w:tc>
        <w:tc>
          <w:tcPr>
            <w:tcW w:type="dxa" w:w="15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277</w:t>
            </w:r>
          </w:p>
        </w:tc>
        <w:tc>
          <w:tcPr>
            <w:tcW w:type="dxa" w:w="2963"/>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orders=10, rev=667.34</w:t>
            </w:r>
          </w:p>
        </w:tc>
        <w:tc>
          <w:tcPr>
            <w:tcW w:type="dxa" w:w="2763"/>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orders=0, rev=−2,496.57</w:t>
            </w:r>
          </w:p>
        </w:tc>
      </w:tr>
      <w:tr>
        <w:tc>
          <w:tcPr>
            <w:tcW w:type="dxa" w:w="18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Archived Only</w:t>
            </w:r>
          </w:p>
        </w:tc>
        <w:tc>
          <w:tcPr>
            <w:tcW w:type="dxa" w:w="1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267</w:t>
            </w:r>
          </w:p>
        </w:tc>
        <w:tc>
          <w:tcPr>
            <w:tcW w:type="dxa" w:w="2963"/>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orders=10, rev=667.34</w:t>
            </w:r>
          </w:p>
        </w:tc>
        <w:tc>
          <w:tcPr>
            <w:tcW w:type="dxa" w:w="2763"/>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orders=0, rev=−2,496.57</w:t>
            </w:r>
          </w:p>
        </w:tc>
      </w:tr>
    </w:tbl>
    <w:p>
      <w:pPr>
        <w:spacing w:after="120" w:before="0"/>
      </w:pPr>
      <w:r>
        <w:rPr>
          <w:rFonts w:ascii="Arial" w:cs="Arial" w:eastAsia="Arial" w:hAnsi="Arial"/>
          <w:b w:val="false"/>
          <w:bCs w:val="false"/>
          <w:color w:val="000000"/>
          <w:sz w:val="22"/>
          <w:szCs w:val="22"/>
        </w:rPr>
        <w:t xml:space="preserve"/>
      </w:r>
    </w:p>
    <w:p>
      <w:pPr>
        <w:spacing w:after="140" w:before="0"/>
      </w:pPr>
      <w:r>
        <w:rPr>
          <w:rFonts w:ascii="Arial" w:cs="Arial" w:eastAsia="Arial" w:hAnsi="Arial"/>
          <w:b/>
          <w:bCs/>
          <w:color w:val="000000"/>
          <w:sz w:val="22"/>
          <w:szCs w:val="22"/>
        </w:rPr>
        <w:t xml:space="preserve">Root cause: </w:t>
      </w:r>
      <w:r>
        <w:rPr>
          <w:rFonts w:ascii="Arial" w:cs="Arial" w:eastAsia="Arial" w:hAnsi="Arial"/>
          <w:color w:val="000000"/>
          <w:sz w:val="22"/>
          <w:szCs w:val="22"/>
        </w:rPr>
        <w:t xml:space="preserve">merge_intervals() in AnalyticsMerger.php divided archived totals equally across all date buckets (267 ÷ 13 months = 20.5/month). Archived orders had date_paid values before the displayed range, so fractional values fell in empty buckets and vanished. Additionally, merge_intervals() was never actually called — it was dead code in both merge_revenue_stats() and merge_orders_stats().</w:t>
      </w:r>
    </w:p>
    <w:p>
      <w:pPr>
        <w:spacing w:after="140" w:before="0"/>
      </w:pPr>
      <w:r>
        <w:rPr>
          <w:rFonts w:ascii="Arial" w:cs="Arial" w:eastAsia="Arial" w:hAnsi="Arial"/>
          <w:b w:val="false"/>
          <w:bCs w:val="false"/>
          <w:color w:val="000000"/>
          <w:sz w:val="22"/>
          <w:szCs w:val="22"/>
        </w:rPr>
        <w:t xml:space="preserve"/>
      </w:r>
    </w:p>
    <w:p>
      <w:pPr>
        <w:spacing w:after="140" w:before="0"/>
      </w:pPr>
      <w:r>
        <w:rPr>
          <w:rFonts w:ascii="Arial" w:cs="Arial" w:eastAsia="Arial" w:hAnsi="Arial"/>
          <w:b/>
          <w:bCs/>
          <w:color w:val="000000"/>
          <w:sz w:val="22"/>
          <w:szCs w:val="22"/>
        </w:rPr>
        <w:t xml:space="preserve">Fix: </w:t>
      </w:r>
      <w:r>
        <w:rPr>
          <w:rFonts w:ascii="Arial" w:cs="Arial" w:eastAsia="Arial" w:hAnsi="Arial"/>
          <w:color w:val="000000"/>
          <w:sz w:val="22"/>
          <w:szCs w:val="22"/>
        </w:rPr>
        <w:t xml:space="preserve">Added get_archived_data_by_interval() which queries the analytics cache table (wp_wc_archived_analytics_cache) with GROUP BY date bucket matching the requested interval granularity (day/week/month/year). Rewrote merge_intervals() to inject real per-bucket subtotals. Wired into both merge_revenue_stats() and merge_orders_stats().</w:t>
      </w:r>
    </w:p>
    <w:p>
      <w:pPr>
        <w:spacing w:after="120" w:before="0"/>
      </w:pPr>
      <w:r>
        <w:rPr>
          <w:rFonts w:ascii="Arial" w:cs="Arial" w:eastAsia="Arial" w:hAnsi="Arial"/>
          <w:b w:val="false"/>
          <w:bCs w:val="false"/>
          <w:color w:val="000000"/>
          <w:sz w:val="22"/>
          <w:szCs w:val="22"/>
        </w:rPr>
        <w:t xml:space="preserve"/>
      </w:r>
    </w:p>
    <w:p>
      <w:pPr>
        <w:spacing w:after="100" w:before="200"/>
      </w:pPr>
      <w:r>
        <w:rPr>
          <w:rFonts w:ascii="Arial" w:cs="Arial" w:eastAsia="Arial" w:hAnsi="Arial"/>
          <w:b/>
          <w:bCs/>
          <w:color w:val="374151"/>
          <w:sz w:val="23"/>
          <w:szCs w:val="23"/>
        </w:rPr>
        <w:t xml:space="preserve">After fix — chart intervals (3 modes all different, FIXED)</w:t>
      </w:r>
    </w:p>
    <w:tbl>
      <w:tblPr>
        <w:tblW w:type="dxa" w:w="6526"/>
        <w:tblBorders>
          <w:top w:val="single" w:color="auto" w:sz="4"/>
          <w:left w:val="single" w:color="auto" w:sz="4"/>
          <w:bottom w:val="single" w:color="auto" w:sz="4"/>
          <w:right w:val="single" w:color="auto" w:sz="4"/>
          <w:insideH w:val="single" w:color="auto" w:sz="4"/>
          <w:insideV w:val="single" w:color="auto" w:sz="4"/>
        </w:tblBorders>
      </w:tblPr>
      <w:tblGrid>
        <w:gridCol w:w="1500"/>
        <w:gridCol w:w="1500"/>
        <w:gridCol w:w="1700"/>
        <w:gridCol w:w="1826"/>
      </w:tblGrid>
      <w:tr>
        <w:tc>
          <w:tcPr>
            <w:tcW w:type="dxa" w:w="1500"/>
            <w:tcBorders>
              <w:top w:val="single" w:color="CCCCCC" w:sz="1"/>
              <w:left w:val="single" w:color="CCCCCC" w:sz="1"/>
              <w:bottom w:val="single" w:color="CCCCCC" w:sz="1"/>
              <w:right w:val="single" w:color="CCCCCC" w:sz="1"/>
            </w:tcBorders>
            <w:shd w:fill="1E293B" w:val="clear"/>
            <w:tcMar>
              <w:top w:type="dxa" w:w="100"/>
              <w:left w:type="dxa" w:w="140"/>
              <w:bottom w:type="dxa" w:w="100"/>
              <w:right w:type="dxa" w:w="140"/>
            </w:tcMar>
          </w:tcPr>
          <w:p>
            <w:pPr>
              <w:spacing w:after="0" w:before="0"/>
            </w:pPr>
            <w:r>
              <w:rPr>
                <w:rFonts w:ascii="Arial" w:cs="Arial" w:eastAsia="Arial" w:hAnsi="Arial"/>
                <w:b/>
                <w:bCs/>
                <w:color w:val="FFFFFF"/>
                <w:sz w:val="22"/>
                <w:szCs w:val="22"/>
              </w:rPr>
              <w:t xml:space="preserve">Month</w:t>
            </w:r>
          </w:p>
        </w:tc>
        <w:tc>
          <w:tcPr>
            <w:tcW w:type="dxa" w:w="1500"/>
            <w:tcBorders>
              <w:top w:val="single" w:color="CCCCCC" w:sz="1"/>
              <w:left w:val="single" w:color="CCCCCC" w:sz="1"/>
              <w:bottom w:val="single" w:color="CCCCCC" w:sz="1"/>
              <w:right w:val="single" w:color="CCCCCC" w:sz="1"/>
            </w:tcBorders>
            <w:shd w:fill="1E293B" w:val="clear"/>
            <w:tcMar>
              <w:top w:type="dxa" w:w="100"/>
              <w:left w:type="dxa" w:w="140"/>
              <w:bottom w:type="dxa" w:w="100"/>
              <w:right w:type="dxa" w:w="140"/>
            </w:tcMar>
          </w:tcPr>
          <w:p>
            <w:pPr>
              <w:spacing w:after="0" w:before="0"/>
            </w:pPr>
            <w:r>
              <w:rPr>
                <w:rFonts w:ascii="Arial" w:cs="Arial" w:eastAsia="Arial" w:hAnsi="Arial"/>
                <w:b/>
                <w:bCs/>
                <w:color w:val="FFFFFF"/>
                <w:sz w:val="22"/>
                <w:szCs w:val="22"/>
              </w:rPr>
              <w:t xml:space="preserve">Exclude</w:t>
            </w:r>
          </w:p>
        </w:tc>
        <w:tc>
          <w:tcPr>
            <w:tcW w:type="dxa" w:w="1700"/>
            <w:tcBorders>
              <w:top w:val="single" w:color="CCCCCC" w:sz="1"/>
              <w:left w:val="single" w:color="CCCCCC" w:sz="1"/>
              <w:bottom w:val="single" w:color="CCCCCC" w:sz="1"/>
              <w:right w:val="single" w:color="CCCCCC" w:sz="1"/>
            </w:tcBorders>
            <w:shd w:fill="1E293B" w:val="clear"/>
            <w:tcMar>
              <w:top w:type="dxa" w:w="100"/>
              <w:left w:type="dxa" w:w="140"/>
              <w:bottom w:type="dxa" w:w="100"/>
              <w:right w:type="dxa" w:w="140"/>
            </w:tcMar>
          </w:tcPr>
          <w:p>
            <w:pPr>
              <w:spacing w:after="0" w:before="0"/>
            </w:pPr>
            <w:r>
              <w:rPr>
                <w:rFonts w:ascii="Arial" w:cs="Arial" w:eastAsia="Arial" w:hAnsi="Arial"/>
                <w:b/>
                <w:bCs/>
                <w:color w:val="FFFFFF"/>
                <w:sz w:val="22"/>
                <w:szCs w:val="22"/>
              </w:rPr>
              <w:t xml:space="preserve">Combine</w:t>
            </w:r>
          </w:p>
        </w:tc>
        <w:tc>
          <w:tcPr>
            <w:tcW w:type="dxa" w:w="1826"/>
            <w:tcBorders>
              <w:top w:val="single" w:color="CCCCCC" w:sz="1"/>
              <w:left w:val="single" w:color="CCCCCC" w:sz="1"/>
              <w:bottom w:val="single" w:color="CCCCCC" w:sz="1"/>
              <w:right w:val="single" w:color="CCCCCC" w:sz="1"/>
            </w:tcBorders>
            <w:shd w:fill="1E293B" w:val="clear"/>
            <w:tcMar>
              <w:top w:type="dxa" w:w="100"/>
              <w:left w:type="dxa" w:w="140"/>
              <w:bottom w:type="dxa" w:w="100"/>
              <w:right w:type="dxa" w:w="140"/>
            </w:tcMar>
          </w:tcPr>
          <w:p>
            <w:pPr>
              <w:spacing w:after="0" w:before="0"/>
            </w:pPr>
            <w:r>
              <w:rPr>
                <w:rFonts w:ascii="Arial" w:cs="Arial" w:eastAsia="Arial" w:hAnsi="Arial"/>
                <w:b/>
                <w:bCs/>
                <w:color w:val="FFFFFF"/>
                <w:sz w:val="22"/>
                <w:szCs w:val="22"/>
              </w:rPr>
              <w:t xml:space="preserve">Archived Only</w:t>
            </w:r>
          </w:p>
        </w:tc>
      </w:tr>
      <w:tr>
        <w:tc>
          <w:tcPr>
            <w:tcW w:type="dxa" w:w="1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2026-06</w:t>
            </w:r>
          </w:p>
        </w:tc>
        <w:tc>
          <w:tcPr>
            <w:tcW w:type="dxa" w:w="1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0</w:t>
            </w:r>
          </w:p>
        </w:tc>
        <w:tc>
          <w:tcPr>
            <w:tcW w:type="dxa" w:w="17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2</w:t>
            </w:r>
          </w:p>
        </w:tc>
        <w:tc>
          <w:tcPr>
            <w:tcW w:type="dxa" w:w="1826"/>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2</w:t>
            </w:r>
          </w:p>
        </w:tc>
      </w:tr>
      <w:tr>
        <w:tc>
          <w:tcPr>
            <w:tcW w:type="dxa" w:w="15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2026-05</w:t>
            </w:r>
          </w:p>
        </w:tc>
        <w:tc>
          <w:tcPr>
            <w:tcW w:type="dxa" w:w="15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10</w:t>
            </w:r>
          </w:p>
        </w:tc>
        <w:tc>
          <w:tcPr>
            <w:tcW w:type="dxa" w:w="17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113</w:t>
            </w:r>
          </w:p>
        </w:tc>
        <w:tc>
          <w:tcPr>
            <w:tcW w:type="dxa" w:w="1826"/>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103</w:t>
            </w:r>
          </w:p>
        </w:tc>
      </w:tr>
      <w:tr>
        <w:tc>
          <w:tcPr>
            <w:tcW w:type="dxa" w:w="1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2026-04</w:t>
            </w:r>
          </w:p>
        </w:tc>
        <w:tc>
          <w:tcPr>
            <w:tcW w:type="dxa" w:w="1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0</w:t>
            </w:r>
          </w:p>
        </w:tc>
        <w:tc>
          <w:tcPr>
            <w:tcW w:type="dxa" w:w="17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30</w:t>
            </w:r>
          </w:p>
        </w:tc>
        <w:tc>
          <w:tcPr>
            <w:tcW w:type="dxa" w:w="1826"/>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30</w:t>
            </w:r>
          </w:p>
        </w:tc>
      </w:tr>
      <w:tr>
        <w:tc>
          <w:tcPr>
            <w:tcW w:type="dxa" w:w="15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2026-03</w:t>
            </w:r>
          </w:p>
        </w:tc>
        <w:tc>
          <w:tcPr>
            <w:tcW w:type="dxa" w:w="15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0</w:t>
            </w:r>
          </w:p>
        </w:tc>
        <w:tc>
          <w:tcPr>
            <w:tcW w:type="dxa" w:w="17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61</w:t>
            </w:r>
          </w:p>
        </w:tc>
        <w:tc>
          <w:tcPr>
            <w:tcW w:type="dxa" w:w="1826"/>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61</w:t>
            </w:r>
          </w:p>
        </w:tc>
      </w:tr>
      <w:tr>
        <w:tc>
          <w:tcPr>
            <w:tcW w:type="dxa" w:w="1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2026-02</w:t>
            </w:r>
          </w:p>
        </w:tc>
        <w:tc>
          <w:tcPr>
            <w:tcW w:type="dxa" w:w="15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0</w:t>
            </w:r>
          </w:p>
        </w:tc>
        <w:tc>
          <w:tcPr>
            <w:tcW w:type="dxa" w:w="17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48</w:t>
            </w:r>
          </w:p>
        </w:tc>
        <w:tc>
          <w:tcPr>
            <w:tcW w:type="dxa" w:w="1826"/>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48</w:t>
            </w:r>
          </w:p>
        </w:tc>
      </w:tr>
      <w:tr>
        <w:tc>
          <w:tcPr>
            <w:tcW w:type="dxa" w:w="15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2026-01</w:t>
            </w:r>
          </w:p>
        </w:tc>
        <w:tc>
          <w:tcPr>
            <w:tcW w:type="dxa" w:w="15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0</w:t>
            </w:r>
          </w:p>
        </w:tc>
        <w:tc>
          <w:tcPr>
            <w:tcW w:type="dxa" w:w="17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23</w:t>
            </w:r>
          </w:p>
        </w:tc>
        <w:tc>
          <w:tcPr>
            <w:tcW w:type="dxa" w:w="1826"/>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23</w:t>
            </w:r>
          </w:p>
        </w:tc>
      </w:tr>
    </w:tbl>
    <w:p>
      <w:pPr>
        <w:spacing w:after="120" w:before="0"/>
      </w:pPr>
      <w:r>
        <w:rPr>
          <w:rFonts w:ascii="Arial" w:cs="Arial" w:eastAsia="Arial" w:hAnsi="Arial"/>
          <w:b w:val="false"/>
          <w:bCs w:val="false"/>
          <w:color w:val="000000"/>
          <w:sz w:val="22"/>
          <w:szCs w:val="22"/>
        </w:rPr>
        <w:t xml:space="preserve"/>
      </w:r>
    </w:p>
    <w:p>
      <w:pPr>
        <w:spacing w:after="100" w:before="200"/>
      </w:pPr>
      <w:r>
        <w:rPr>
          <w:rFonts w:ascii="Arial" w:cs="Arial" w:eastAsia="Arial" w:hAnsi="Arial"/>
          <w:b/>
          <w:bCs/>
          <w:color w:val="374151"/>
          <w:sz w:val="23"/>
          <w:szCs w:val="23"/>
        </w:rPr>
        <w:t xml:space="preserve">Full end-to-end cycle test (Playwright, 2026-06-02)</w:t>
      </w:r>
    </w:p>
    <w:p>
      <w:pPr>
        <w:pStyle w:val="ListParagraph"/>
        <w:numPr>
          <w:ilvl w:val="0"/>
          <w:numId w:val="2"/>
        </w:numPr>
        <w:spacing w:after="100" w:before="0"/>
      </w:pPr>
      <w:r>
        <w:rPr>
          <w:rFonts w:ascii="Arial" w:cs="Arial" w:eastAsia="Arial" w:hAnsi="Arial"/>
          <w:sz w:val="22"/>
          <w:szCs w:val="22"/>
        </w:rPr>
        <w:t xml:space="preserve">Created order #557 ($22.03, completed, date_paid 2026-06-02)</w:t>
      </w:r>
    </w:p>
    <w:p>
      <w:pPr>
        <w:pStyle w:val="ListParagraph"/>
        <w:numPr>
          <w:ilvl w:val="0"/>
          <w:numId w:val="2"/>
        </w:numPr>
        <w:spacing w:after="100" w:before="0"/>
      </w:pPr>
      <w:r>
        <w:rPr>
          <w:rFonts w:ascii="Arial" w:cs="Arial" w:eastAsia="Arial" w:hAnsi="Arial"/>
          <w:sz w:val="22"/>
          <w:szCs w:val="22"/>
        </w:rPr>
        <w:t xml:space="preserve">Analytics before archive: exclude=10, combine=279, archived_only=269; June bucket: combine=4, archived_only=4</w:t>
      </w:r>
    </w:p>
    <w:p>
      <w:pPr>
        <w:pStyle w:val="ListParagraph"/>
        <w:numPr>
          <w:ilvl w:val="0"/>
          <w:numId w:val="2"/>
        </w:numPr>
        <w:spacing w:after="100" w:before="0"/>
      </w:pPr>
      <w:r>
        <w:rPr>
          <w:rFonts w:ascii="Arial" w:cs="Arial" w:eastAsia="Arial" w:hAnsi="Arial"/>
          <w:sz w:val="22"/>
          <w:szCs w:val="22"/>
        </w:rPr>
        <w:t xml:space="preserve">Archived order #557 via ArchiveMaster REST → HTTP 200 confirmed</w:t>
      </w:r>
    </w:p>
    <w:p>
      <w:pPr>
        <w:pStyle w:val="ListParagraph"/>
        <w:numPr>
          <w:ilvl w:val="0"/>
          <w:numId w:val="2"/>
        </w:numPr>
        <w:spacing w:after="100" w:before="0"/>
      </w:pPr>
      <w:r>
        <w:rPr>
          <w:rFonts w:ascii="Arial" w:cs="Arial" w:eastAsia="Arial" w:hAnsi="Arial"/>
          <w:sz w:val="22"/>
          <w:szCs w:val="22"/>
        </w:rPr>
        <w:t xml:space="preserve">Analytics after archive: exclude=10 (unchanged), combine=280 (+1), archived_only=270 (+1); June bucket: combine=5, archived_only=5</w:t>
      </w:r>
    </w:p>
    <w:p>
      <w:pPr>
        <w:pStyle w:val="ListParagraph"/>
        <w:numPr>
          <w:ilvl w:val="0"/>
          <w:numId w:val="2"/>
        </w:numPr>
        <w:spacing w:after="100" w:before="0"/>
      </w:pPr>
      <w:r>
        <w:rPr>
          <w:rFonts w:ascii="Arial" w:cs="Arial" w:eastAsia="Arial" w:hAnsi="Arial"/>
          <w:sz w:val="22"/>
          <w:szCs w:val="22"/>
        </w:rPr>
        <w:t xml:space="preserve">Unarchived order #557 → HTTP 200, "Successfully Unarchived Orders"</w:t>
      </w:r>
    </w:p>
    <w:p>
      <w:pPr>
        <w:pStyle w:val="ListParagraph"/>
        <w:numPr>
          <w:ilvl w:val="0"/>
          <w:numId w:val="2"/>
        </w:numPr>
        <w:spacing w:after="100" w:before="0"/>
      </w:pPr>
      <w:r>
        <w:rPr>
          <w:rFonts w:ascii="Arial" w:cs="Arial" w:eastAsia="Arial" w:hAnsi="Arial"/>
          <w:sz w:val="22"/>
          <w:szCs w:val="22"/>
        </w:rPr>
        <w:t xml:space="preserve">Analytics after unarchive: reverted exactly to pre-archive state (combine=279, archived_only=269, June=4)</w:t>
      </w:r>
    </w:p>
    <w:p>
      <w:pPr>
        <w:spacing w:after="140" w:before="0"/>
      </w:pPr>
      <w:r>
        <w:rPr>
          <w:rFonts w:ascii="Arial" w:cs="Arial" w:eastAsia="Arial" w:hAnsi="Arial"/>
          <w:b w:val="false"/>
          <w:bCs w:val="false"/>
          <w:color w:val="000000"/>
          <w:sz w:val="22"/>
          <w:szCs w:val="22"/>
        </w:rPr>
        <w:t xml:space="preserve"/>
      </w:r>
    </w:p>
    <w:p>
      <w:pPr>
        <w:spacing w:after="140" w:before="0"/>
      </w:pPr>
      <w:r>
        <w:rPr>
          <w:rFonts w:ascii="Arial" w:cs="Arial" w:eastAsia="Arial" w:hAnsi="Arial"/>
          <w:b/>
          <w:bCs/>
          <w:color w:val="000000"/>
          <w:sz w:val="22"/>
          <w:szCs w:val="22"/>
        </w:rPr>
        <w:t xml:space="preserve">Files changed: </w:t>
      </w:r>
      <w:r>
        <w:rPr>
          <w:rFonts w:ascii="Arial" w:cs="Arial" w:eastAsia="Arial" w:hAnsi="Arial"/>
          <w:color w:val="000000"/>
          <w:sz w:val="22"/>
          <w:szCs w:val="22"/>
        </w:rPr>
        <w:t xml:space="preserve">archive-master-pro/includes/analytics/AnalyticsMerger.php (added get_archived_data_by_interval, rewrote merge_intervals, wired into both merge methods). PHPCS/phpcbf auto-fix applied.</w:t>
      </w:r>
    </w:p>
    <w:p>
      <w:pPr>
        <w:spacing w:after="140" w:before="0"/>
      </w:pPr>
      <w:r>
        <w:rPr>
          <w:rFonts w:ascii="Arial" w:cs="Arial" w:eastAsia="Arial" w:hAnsi="Arial"/>
          <w:b w:val="false"/>
          <w:bCs w:val="false"/>
          <w:color w:val="000000"/>
          <w:sz w:val="22"/>
          <w:szCs w:val="22"/>
        </w:rPr>
        <w:t xml:space="preserve"/>
      </w:r>
    </w:p>
    <w:p>
      <w:pPr>
        <w:spacing w:after="60" w:before="0"/>
      </w:pPr>
      <w:r>
        <w:rPr>
          <w:rFonts w:ascii="Arial" w:cs="Arial" w:eastAsia="Arial" w:hAnsi="Arial"/>
          <w:b/>
          <w:bCs/>
          <w:color w:val="000000"/>
          <w:sz w:val="22"/>
          <w:szCs w:val="22"/>
        </w:rPr>
        <w:t xml:space="preserve">Action required:</w:t>
      </w:r>
    </w:p>
    <w:p>
      <w:pPr>
        <w:spacing w:after="140" w:before="0"/>
      </w:pPr>
      <w:r>
        <w:rPr>
          <w:rFonts w:ascii="Arial" w:cs="Arial" w:eastAsia="Arial" w:hAnsi="Arial"/>
          <w:b w:val="false"/>
          <w:bCs w:val="false"/>
          <w:color w:val="000000"/>
          <w:sz w:val="22"/>
          <w:szCs w:val="22"/>
        </w:rPr>
        <w:t xml:space="preserve">No action needed. Fix ships in this release.</w:t>
      </w:r>
    </w:p>
    <w:p>
      <w:pPr>
        <w:pBdr>
          <w:bottom w:val="single" w:color="E5E7EB" w:sz="4" w:space="1"/>
        </w:pBdr>
        <w:spacing w:after="240" w:before="240"/>
      </w:pPr>
    </w:p>
    <w:p>
      <w:pPr>
        <w:spacing w:after="140" w:before="320"/>
      </w:pPr>
      <w:r>
        <w:rPr>
          <w:rFonts w:ascii="Arial" w:cs="Arial" w:eastAsia="Arial" w:hAnsi="Arial"/>
          <w:b/>
          <w:bCs/>
          <w:color w:val="1a1a2e"/>
          <w:sz w:val="28"/>
          <w:szCs w:val="28"/>
        </w:rPr>
        <w:t xml:space="preserve">Summary</w:t>
      </w:r>
    </w:p>
    <w:tbl>
      <w:tblPr>
        <w:tblW w:type="dxa" w:w="8026"/>
        <w:tblBorders>
          <w:top w:val="single" w:color="auto" w:sz="4"/>
          <w:left w:val="single" w:color="auto" w:sz="4"/>
          <w:bottom w:val="single" w:color="auto" w:sz="4"/>
          <w:right w:val="single" w:color="auto" w:sz="4"/>
          <w:insideH w:val="single" w:color="auto" w:sz="4"/>
          <w:insideV w:val="single" w:color="auto" w:sz="4"/>
        </w:tblBorders>
      </w:tblPr>
      <w:tblGrid>
        <w:gridCol w:w="2900"/>
        <w:gridCol w:w="2100"/>
        <w:gridCol w:w="3026"/>
      </w:tblGrid>
      <w:tr>
        <w:tc>
          <w:tcPr>
            <w:tcW w:type="dxa" w:w="2900"/>
            <w:tcBorders>
              <w:top w:val="single" w:color="CCCCCC" w:sz="1"/>
              <w:left w:val="single" w:color="CCCCCC" w:sz="1"/>
              <w:bottom w:val="single" w:color="CCCCCC" w:sz="1"/>
              <w:right w:val="single" w:color="CCCCCC" w:sz="1"/>
            </w:tcBorders>
            <w:shd w:fill="1E293B" w:val="clear"/>
            <w:tcMar>
              <w:top w:type="dxa" w:w="100"/>
              <w:left w:type="dxa" w:w="140"/>
              <w:bottom w:type="dxa" w:w="100"/>
              <w:right w:type="dxa" w:w="140"/>
            </w:tcMar>
          </w:tcPr>
          <w:p>
            <w:pPr>
              <w:spacing w:after="0" w:before="0"/>
            </w:pPr>
            <w:r>
              <w:rPr>
                <w:rFonts w:ascii="Arial" w:cs="Arial" w:eastAsia="Arial" w:hAnsi="Arial"/>
                <w:b/>
                <w:bCs/>
                <w:color w:val="FFFFFF"/>
                <w:sz w:val="22"/>
                <w:szCs w:val="22"/>
              </w:rPr>
              <w:t xml:space="preserve">Issue</w:t>
            </w:r>
          </w:p>
        </w:tc>
        <w:tc>
          <w:tcPr>
            <w:tcW w:type="dxa" w:w="2100"/>
            <w:tcBorders>
              <w:top w:val="single" w:color="CCCCCC" w:sz="1"/>
              <w:left w:val="single" w:color="CCCCCC" w:sz="1"/>
              <w:bottom w:val="single" w:color="CCCCCC" w:sz="1"/>
              <w:right w:val="single" w:color="CCCCCC" w:sz="1"/>
            </w:tcBorders>
            <w:shd w:fill="1E293B" w:val="clear"/>
            <w:tcMar>
              <w:top w:type="dxa" w:w="100"/>
              <w:left w:type="dxa" w:w="140"/>
              <w:bottom w:type="dxa" w:w="100"/>
              <w:right w:type="dxa" w:w="140"/>
            </w:tcMar>
          </w:tcPr>
          <w:p>
            <w:pPr>
              <w:spacing w:after="0" w:before="0"/>
            </w:pPr>
            <w:r>
              <w:rPr>
                <w:rFonts w:ascii="Arial" w:cs="Arial" w:eastAsia="Arial" w:hAnsi="Arial"/>
                <w:b/>
                <w:bCs/>
                <w:color w:val="FFFFFF"/>
                <w:sz w:val="22"/>
                <w:szCs w:val="22"/>
              </w:rPr>
              <w:t xml:space="preserve">Verdict</w:t>
            </w:r>
          </w:p>
        </w:tc>
        <w:tc>
          <w:tcPr>
            <w:tcW w:type="dxa" w:w="3026"/>
            <w:tcBorders>
              <w:top w:val="single" w:color="CCCCCC" w:sz="1"/>
              <w:left w:val="single" w:color="CCCCCC" w:sz="1"/>
              <w:bottom w:val="single" w:color="CCCCCC" w:sz="1"/>
              <w:right w:val="single" w:color="CCCCCC" w:sz="1"/>
            </w:tcBorders>
            <w:shd w:fill="1E293B" w:val="clear"/>
            <w:tcMar>
              <w:top w:type="dxa" w:w="100"/>
              <w:left w:type="dxa" w:w="140"/>
              <w:bottom w:type="dxa" w:w="100"/>
              <w:right w:type="dxa" w:w="140"/>
            </w:tcMar>
          </w:tcPr>
          <w:p>
            <w:pPr>
              <w:spacing w:after="0" w:before="0"/>
            </w:pPr>
            <w:r>
              <w:rPr>
                <w:rFonts w:ascii="Arial" w:cs="Arial" w:eastAsia="Arial" w:hAnsi="Arial"/>
                <w:b/>
                <w:bCs/>
                <w:color w:val="FFFFFF"/>
                <w:sz w:val="22"/>
                <w:szCs w:val="22"/>
              </w:rPr>
              <w:t xml:space="preserve">Action Required</w:t>
            </w:r>
          </w:p>
        </w:tc>
      </w:tr>
      <w:tr>
        <w:tc>
          <w:tcPr>
            <w:tcW w:type="dxa" w:w="29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HPOS option mismatch</w:t>
            </w:r>
          </w:p>
        </w:tc>
        <w:tc>
          <w:tcPr>
            <w:tcW w:type="dxa" w:w="21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Not ArchiveMaster</w:t>
            </w:r>
          </w:p>
        </w:tc>
        <w:tc>
          <w:tcPr>
            <w:tcW w:type="dxa" w:w="3026"/>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Run WC HPOS reverse migration wizard</w:t>
            </w:r>
          </w:p>
        </w:tc>
      </w:tr>
      <w:tr>
        <w:tc>
          <w:tcPr>
            <w:tcW w:type="dxa" w:w="29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99 orphaned refund posts + 1,293 order items (legacy CPT mode)</w:t>
            </w:r>
          </w:p>
        </w:tc>
        <w:tc>
          <w:tcPr>
            <w:tcW w:type="dxa" w:w="21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 Fixed in this release</w:t>
            </w:r>
          </w:p>
        </w:tc>
        <w:tc>
          <w:tcPr>
            <w:tcW w:type="dxa" w:w="3026"/>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None. Pre-existing orphans: WC → Status → Tools → Delete orphaned order data</w:t>
            </w:r>
          </w:p>
        </w:tc>
      </w:tr>
      <w:tr>
        <w:tc>
          <w:tcPr>
            <w:tcW w:type="dxa" w:w="29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wc_order_stats / Division by Zero</w:t>
            </w:r>
          </w:p>
        </w:tc>
        <w:tc>
          <w:tcPr>
            <w:tcW w:type="dxa" w:w="21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WooCommerce design</w:t>
            </w:r>
          </w:p>
        </w:tc>
        <w:tc>
          <w:tcPr>
            <w:tcW w:type="dxa" w:w="3026"/>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WC → Analytics → Re-import historical data</w:t>
            </w:r>
          </w:p>
        </w:tc>
      </w:tr>
      <w:tr>
        <w:tc>
          <w:tcPr>
            <w:tcW w:type="dxa" w:w="29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Analytics chart identical across all 3 modes</w:t>
            </w:r>
          </w:p>
        </w:tc>
        <w:tc>
          <w:tcPr>
            <w:tcW w:type="dxa" w:w="2100"/>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 Fixed in this release</w:t>
            </w:r>
          </w:p>
        </w:tc>
        <w:tc>
          <w:tcPr>
            <w:tcW w:type="dxa" w:w="3026"/>
            <w:tcBorders>
              <w:top w:val="single" w:color="CCCCCC" w:sz="1"/>
              <w:left w:val="single" w:color="CCCCCC" w:sz="1"/>
              <w:bottom w:val="single" w:color="CCCCCC" w:sz="1"/>
              <w:right w:val="single" w:color="CCCCCC" w:sz="1"/>
            </w:tcBorders>
            <w:shd w:fill="F9FAFB" w:val="clear"/>
            <w:tcMar>
              <w:top w:type="dxa" w:w="100"/>
              <w:left w:type="dxa" w:w="140"/>
              <w:bottom w:type="dxa" w:w="100"/>
              <w:right w:type="dxa" w:w="140"/>
            </w:tcMar>
          </w:tcPr>
          <w:p>
            <w:pPr>
              <w:spacing w:after="0" w:before="0"/>
            </w:pPr>
            <w:r>
              <w:rPr>
                <w:rFonts w:ascii="Arial" w:cs="Arial" w:eastAsia="Arial" w:hAnsi="Arial"/>
                <w:b w:val="false"/>
                <w:bCs w:val="false"/>
                <w:color w:val="000000"/>
                <w:sz w:val="22"/>
                <w:szCs w:val="22"/>
              </w:rPr>
              <w:t xml:space="preserve">None — ships automatically</w:t>
            </w:r>
          </w:p>
        </w:tc>
      </w:tr>
    </w:tbl>
    <w:p>
      <w:pPr>
        <w:spacing w:after="200" w:before="0"/>
      </w:pPr>
      <w:r>
        <w:rPr>
          <w:rFonts w:ascii="Arial" w:cs="Arial" w:eastAsia="Arial" w:hAnsi="Arial"/>
          <w:b w:val="false"/>
          <w:bCs w:val="false"/>
          <w:color w:val="000000"/>
          <w:sz w:val="22"/>
          <w:szCs w:val="22"/>
        </w:rPr>
        <w:t xml:space="preserve"/>
      </w:r>
    </w:p>
    <w:p>
      <w:pPr>
        <w:spacing w:after="200" w:before="0"/>
      </w:pPr>
      <w:r>
        <w:rPr>
          <w:rFonts w:ascii="Arial" w:cs="Arial" w:eastAsia="Arial" w:hAnsi="Arial"/>
          <w:b w:val="false"/>
          <w:bCs w:val="false"/>
          <w:color w:val="000000"/>
          <w:sz w:val="22"/>
          <w:szCs w:val="22"/>
        </w:rPr>
        <w:t xml:space="preserve">Both ArchiveMaster bugs are now fixed and QA-verified. The analytics chart issue in particular was a real find — thank you for the thorough report.</w:t>
      </w:r>
    </w:p>
    <w:p>
      <w:pPr>
        <w:spacing w:after="140" w:before="0"/>
      </w:pPr>
      <w:r>
        <w:rPr>
          <w:rFonts w:ascii="Arial" w:cs="Arial" w:eastAsia="Arial" w:hAnsi="Arial"/>
          <w:b w:val="false"/>
          <w:bCs w:val="false"/>
          <w:color w:val="000000"/>
          <w:sz w:val="22"/>
          <w:szCs w:val="22"/>
        </w:rPr>
        <w:t xml:space="preserve">Best regards</w:t>
      </w:r>
    </w:p>
    <w:p>
      <w:pPr>
        <w:spacing w:after="140" w:before="0"/>
      </w:pPr>
      <w:r>
        <w:rPr>
          <w:rFonts w:ascii="Arial" w:cs="Arial" w:eastAsia="Arial" w:hAnsi="Arial"/>
          <w:b/>
          <w:bCs/>
          <w:color w:val="000000"/>
          <w:sz w:val="22"/>
          <w:szCs w:val="22"/>
        </w:rPr>
        <w:t xml:space="preserve">ArchiveMaster Support</w:t>
      </w:r>
    </w:p>
    <w:sectPr>
      <w:pgSz w:w="11906" w:h="16838" w:orient="portrait"/>
      <w:pgMar w:top="1260" w:right="1260" w:bottom="126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2026-06-02T11:26:09.790Z</dcterms:created>
  <dcterms:modified xsi:type="dcterms:W3CDTF">2026-06-02T11:26:09.791Z</dcterms:modified>
</cp:coreProperties>
</file>

<file path=docProps/custom.xml><?xml version="1.0" encoding="utf-8"?>
<Properties xmlns="http://schemas.openxmlformats.org/officeDocument/2006/custom-properties" xmlns:vt="http://schemas.openxmlformats.org/officeDocument/2006/docPropsVTypes"/>
</file>